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50" w:lineRule="atLeast"/>
        <w:ind w:left="0" w:right="0"/>
        <w:jc w:val="center"/>
        <w:rPr>
          <w:color w:val="000000"/>
          <w:sz w:val="42"/>
          <w:szCs w:val="42"/>
        </w:rPr>
      </w:pPr>
      <w:r>
        <w:rPr>
          <w:color w:val="000000"/>
          <w:sz w:val="42"/>
          <w:szCs w:val="42"/>
        </w:rPr>
        <w:t>关于2023年度卫生专业技术资格考试有关问题的通知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bookmarkStart w:id="0" w:name="_GoBack"/>
      <w:bookmarkEnd w:id="0"/>
    </w:p>
    <w:p>
      <w:pPr>
        <w:pStyle w:val="3"/>
        <w:keepNext w:val="0"/>
        <w:keepLines w:val="0"/>
        <w:widowControl/>
        <w:suppressLineNumbers w:val="0"/>
        <w:spacing w:before="0" w:beforeAutospacing="0" w:after="0" w:afterAutospacing="0" w:line="23" w:lineRule="atLeast"/>
        <w:ind w:left="0" w:right="0" w:firstLine="4800"/>
        <w:jc w:val="right"/>
        <w:rPr>
          <w:rFonts w:hint="default" w:ascii="Times New Roman" w:hAnsi="Times New Roman" w:eastAsia="仿宋" w:cs="Times New Roman"/>
          <w:sz w:val="32"/>
          <w:szCs w:val="32"/>
        </w:rPr>
      </w:pPr>
      <w:r>
        <w:rPr>
          <w:rFonts w:hint="eastAsia" w:ascii="仿宋" w:hAnsi="仿宋" w:eastAsia="仿宋" w:cs="仿宋"/>
          <w:color w:val="333333"/>
          <w:sz w:val="32"/>
          <w:szCs w:val="32"/>
        </w:rPr>
        <w:t>卫考办发〔2022〕1号</w:t>
      </w:r>
      <w:r>
        <w:rPr>
          <w:rFonts w:hint="eastAsia" w:ascii="仿宋" w:hAnsi="仿宋" w:eastAsia="仿宋" w:cs="仿宋"/>
          <w:b/>
          <w:color w:val="333333"/>
          <w:sz w:val="44"/>
          <w:szCs w:val="44"/>
        </w:rPr>
        <w:t> </w:t>
      </w:r>
    </w:p>
    <w:p>
      <w:pPr>
        <w:pStyle w:val="3"/>
        <w:keepNext w:val="0"/>
        <w:keepLines w:val="0"/>
        <w:widowControl/>
        <w:suppressLineNumbers w:val="0"/>
        <w:spacing w:before="0" w:beforeAutospacing="0" w:after="0" w:afterAutospacing="0" w:line="600" w:lineRule="atLeast"/>
        <w:ind w:left="0" w:right="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各省、自治区、直辖市及新疆生产建设兵团考试管理机构：</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2023年度卫生专业技术资格考试定于4月15、16、22、23日举行。为保证考试顺利进行，现将有关问题通知如下。</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一、凡符合《人力资源社会保障部</w:t>
      </w:r>
      <w:r>
        <w:rPr>
          <w:rFonts w:hint="default" w:ascii="Times New Roman" w:hAnsi="Times New Roman" w:eastAsia="仿宋" w:cs="Times New Roman"/>
          <w:color w:val="333333"/>
          <w:sz w:val="32"/>
          <w:szCs w:val="32"/>
        </w:rPr>
        <w:t xml:space="preserve"> </w:t>
      </w:r>
      <w:r>
        <w:rPr>
          <w:rFonts w:hint="eastAsia" w:ascii="仿宋" w:hAnsi="仿宋" w:eastAsia="仿宋" w:cs="仿宋"/>
          <w:color w:val="333333"/>
          <w:sz w:val="32"/>
          <w:szCs w:val="32"/>
        </w:rPr>
        <w:t>国家卫生健康委</w:t>
      </w:r>
      <w:r>
        <w:rPr>
          <w:rFonts w:hint="default" w:ascii="Times New Roman" w:hAnsi="Times New Roman" w:eastAsia="仿宋" w:cs="Times New Roman"/>
          <w:color w:val="333333"/>
          <w:sz w:val="32"/>
          <w:szCs w:val="32"/>
        </w:rPr>
        <w:t xml:space="preserve"> </w:t>
      </w:r>
      <w:r>
        <w:rPr>
          <w:rFonts w:hint="eastAsia" w:ascii="仿宋" w:hAnsi="仿宋" w:eastAsia="仿宋" w:cs="仿宋"/>
          <w:color w:val="333333"/>
          <w:sz w:val="32"/>
          <w:szCs w:val="32"/>
        </w:rPr>
        <w:t>国家中医药局关于深化卫生专业技术人员职称制度改革的指导意见》（人社部发〔2021〕51号）条件的人员，均可报名参加相应级别和专业类别的考试。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二、按照《国务院办公厅关于深化医教协同进一步推进医学教育改革与发展的意见》（国办发〔2017〕63号）有关规定，本科及以上学历毕业生参加住院医师规范化培训合格并到基层医疗卫生机构（新疆、西藏及四省藏区等艰苦边远地区可放宽到县级医疗卫生机构）工作的，可直接参加中级职称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三、根据《中央应对疫情工作领导小组关于全面落实进一步保护关心爱护医务人员若干措施的通知》（国发明电〔2020〕5号）和《人力资源社会保障部办公厅关于做好新冠肺炎疫情防控一线专业技术人员职称工作的通知》（人社厅发〔2020〕23号）相关要求，参加新冠肺炎疫情防控的一线医务人员，在符合相应报名条件的基础上，晋升高一级职称可以提前一年申报参加卫生专业技术资格考试；对做出突出贡献，获得省部级以上表彰奖励的，晋升高一级职称可以直接申报参加考试。参加新冠肺炎疫情防控的一线医务人员范围按照《国务院应对新型冠状病毒感染肺炎疫情联防联控机制关于聚焦一线贯彻落实保护关心爱护医务人员措施的通知》（国发明电〔2020〕10号）规定执行。上述享受提前申报的人员，原则上只享受一次政策优惠。</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四、凡在乡镇卫生院、社区卫生服务机构工作的医师、护师，可提前一年参加卫生专业中级技术资格全科医学、全科医学（中医类）和社区护理专业类别的考试。</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五、2023年度报考人员，其学历或学位取得日期和从事本专业工作年限均截至2022年12月31日。因工作岗位变动、需报考现岗位专业类别的人员，其从事现岗位专业工作时间须满2年。</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报名条件中有关专业学历或学位的规定，是指国家教育、卫生健康行政部门认可的正规院校毕业学历或学位。在计算任职年限时，从事医疗或护理等执业活动的，从执业注册时间算起；取得护师、药师或技师等职称，从取得相应资格时间算起。</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六、自2024年起，将职业病学并入内科学专业、结核病学并入传染病学专业、职业卫生并入公共卫生专业、计划生育按专业内容分别并入妇产科和泌尿外科专业；将中医护理并入护理学专业，同时所有护理学专业考试中，相应增加中医内容。目录中将取消中医护理学（初级师、中级，专业代码分别为204、374）、结核病学、职业病学、计划生育、职业卫生（中级，专业代码分别为311、314、360、363）专业类别，相应专业报名人员请提前做好报考计划安排。</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对未列入目录的卫生管理、中西医结合等专业，由各地人力资源社会保障、卫生健康部门根据本地区实际情况，继续采取评审或自行组织考试等办法确认其初、中级专业技术职务的任职资格。</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七、凡报考《卫生专业技术资格考试专业目录》中专业代码为301至365以及392专业的人员，应具有相应专业执业医师资格，并在报名时提交相应专业执业医师资格证书；凡报考专业代码为203、204以及368-374专业的人员，应具有护士执业资格，并在报名时提交护士执业证书。</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八、卫生专业技术资格考试相关专业科目成绩实行两年为一个周期的滚动管理办法，在连续两个考试年度内通过同一专业4个科目的考试，可取得该专业资格证书。对不同专业（含主亚专业）之间各科目的考试合格成绩，不得作为同一专业合并计算。已参加卫生专业技术资格部分专业考试的人员，在规定的时限内报名参加剩余科目考试时须确保证件号码一致。</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2023年报考中医护理学（初级师、中级，专业代码分别为204、374）、结核病学、职业病学、计划生育、职业卫生（中级，专业代码分别为311、314、360、363）专业类别的人员通过部分科目的，在2024年报考其执业范围内的相关专业时，保留2023年通过科目成绩进行滚动管理，两年内通过四个科目的为考试合格，予以发放2024年报考专业的资格证书。</w:t>
      </w:r>
    </w:p>
    <w:p>
      <w:pPr>
        <w:pStyle w:val="3"/>
        <w:keepNext w:val="0"/>
        <w:keepLines w:val="0"/>
        <w:widowControl/>
        <w:suppressLineNumbers w:val="0"/>
        <w:spacing w:before="0" w:beforeAutospacing="0" w:after="0" w:afterAutospacing="0" w:line="60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九、护理学初级（师）专业采用纸笔作答方式进行考试，具体安排如下：</w:t>
      </w:r>
    </w:p>
    <w:p>
      <w:pPr>
        <w:pStyle w:val="3"/>
        <w:keepNext w:val="0"/>
        <w:keepLines w:val="0"/>
        <w:widowControl/>
        <w:suppressLineNumbers w:val="0"/>
        <w:spacing w:before="0" w:beforeAutospacing="0" w:after="0" w:afterAutospacing="0" w:line="600" w:lineRule="atLeast"/>
        <w:ind w:left="0" w:right="0"/>
        <w:jc w:val="center"/>
        <w:rPr>
          <w:rFonts w:hint="default" w:ascii="Times New Roman" w:hAnsi="Times New Roman" w:eastAsia="仿宋" w:cs="Times New Roman"/>
          <w:sz w:val="32"/>
          <w:szCs w:val="32"/>
        </w:rPr>
      </w:pPr>
      <w:r>
        <w:rPr>
          <w:rFonts w:hint="eastAsia" w:ascii="仿宋" w:hAnsi="仿宋" w:eastAsia="仿宋" w:cs="仿宋"/>
          <w:color w:val="333333"/>
          <w:sz w:val="32"/>
          <w:szCs w:val="32"/>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single" w:color="CCCCCC" w:sz="6"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仿宋" w:hAnsi="仿宋" w:eastAsia="仿宋" w:cs="仿宋"/>
          <w:color w:val="333333"/>
          <w:sz w:val="32"/>
          <w:szCs w:val="32"/>
        </w:rPr>
      </w:pP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其他118个专业采用人机对话方式进行考试，具体安排如下：</w:t>
      </w:r>
    </w:p>
    <w:p>
      <w:pPr>
        <w:pStyle w:val="3"/>
        <w:keepNext w:val="0"/>
        <w:keepLines w:val="0"/>
        <w:widowControl/>
        <w:suppressLineNumbers w:val="0"/>
        <w:spacing w:before="0" w:beforeAutospacing="0" w:after="0" w:afterAutospacing="0" w:line="560" w:lineRule="atLeast"/>
        <w:ind w:left="0" w:right="0"/>
        <w:jc w:val="center"/>
        <w:rPr>
          <w:rFonts w:hint="default" w:ascii="Times New Roman" w:hAnsi="Times New Roman" w:eastAsia="仿宋" w:cs="Times New Roman"/>
          <w:sz w:val="32"/>
          <w:szCs w:val="32"/>
        </w:rPr>
      </w:pPr>
      <w:r>
        <w:rPr>
          <w:rFonts w:hint="eastAsia" w:ascii="仿宋" w:hAnsi="仿宋" w:eastAsia="仿宋" w:cs="仿宋"/>
          <w:color w:val="333333"/>
          <w:sz w:val="32"/>
          <w:szCs w:val="32"/>
          <w:bdr w:val="none" w:color="auto" w:sz="0" w:space="0"/>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560" w:lineRule="atLeast"/>
        <w:ind w:left="0" w:right="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    人机对话考试各专业考试日期安排由国家卫生健康委人才交流服务中心（以下简称人才中心）根据报名情况另行通知。</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十、考试报名全国统一采用考生网上报名方式，各级考试管理机构应当统一使用《卫生专业技术资格考试考务管理系统》进行考生的确认和资格审核。相关考务工作安排由人才中心另行通知。</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十一、各地要按照《港澳台居民居住证申领发放办法》（国办发〔2018〕81号）和《中共中央组织部</w:t>
      </w:r>
      <w:r>
        <w:rPr>
          <w:rFonts w:hint="default" w:ascii="Times New Roman" w:hAnsi="Times New Roman" w:eastAsia="仿宋" w:cs="Times New Roman"/>
          <w:color w:val="333333"/>
          <w:sz w:val="32"/>
          <w:szCs w:val="32"/>
        </w:rPr>
        <w:t xml:space="preserve"> </w:t>
      </w:r>
      <w:r>
        <w:rPr>
          <w:rFonts w:hint="eastAsia" w:ascii="仿宋" w:hAnsi="仿宋" w:eastAsia="仿宋" w:cs="仿宋"/>
          <w:color w:val="333333"/>
          <w:sz w:val="32"/>
          <w:szCs w:val="32"/>
        </w:rPr>
        <w:t>人力资源社会保障部</w:t>
      </w:r>
      <w:r>
        <w:rPr>
          <w:rFonts w:hint="default" w:ascii="Times New Roman" w:hAnsi="Times New Roman" w:eastAsia="仿宋" w:cs="Times New Roman"/>
          <w:color w:val="333333"/>
          <w:sz w:val="32"/>
          <w:szCs w:val="32"/>
        </w:rPr>
        <w:t xml:space="preserve"> </w:t>
      </w:r>
      <w:r>
        <w:rPr>
          <w:rFonts w:hint="eastAsia" w:ascii="仿宋" w:hAnsi="仿宋" w:eastAsia="仿宋" w:cs="仿宋"/>
          <w:color w:val="333333"/>
          <w:sz w:val="32"/>
          <w:szCs w:val="32"/>
        </w:rPr>
        <w:t>公安部等25部门关于印发&lt;外国人在中国永久居留享有相关待遇的办法&gt;的通知》（人社部发〔2012〕53号）要求，做好香港、澳门、台湾居民以及持有中国《外国人永久居留证》的外籍人员参加卫生专业技术资格考试相关工作。</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十二、根据人力资源社会保障部《关于33项专业技术人员职业资格考试实行相对固定合格标准有关事项的通告》要求，卫生专业技术资格考试各科目合格标准为60分。为保证各地卫生专业技术职务聘任工作的协调和平衡，各省、自治区、直辖市卫生健康部门可会同人力资源社会保障部门，结合当地实际情况，确定本地区该年度聘任卫生专业中、初级技术职务的标准。各地确定的标准应报国家卫生健康委、人力资源社会保障部备案。</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十三、各地要根据新冠肺炎疫情常态化防控工作的有关要求，结合本地区实际情况，做好考试期间的疫情防控工作方案和应急预案，确保广大考生、考试工作人员的身体健康和生命安全。</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各级考试管理机构要按照有关规定，全面落实考试工作主体责任，建立健全考务管理工作规程和制度；认真落实行政主管部门主要领导或分管领导担任第一责任人的要求，强化对考试工作的指导、监督和检查；严格落实考试安全责任，切实做好保密工作，严防失泄密事件发生；严肃考风考纪，净化考试环境，维护考试的公平、公正；加强部门联动，积极争取公安、电力、无线电管理和交通等部门的支持和配合，有效应对各类突发事件；坚持以人为本，做好考生服务，确保考试各项工作顺利进行。</w:t>
      </w:r>
    </w:p>
    <w:p>
      <w:pPr>
        <w:pStyle w:val="3"/>
        <w:keepNext w:val="0"/>
        <w:keepLines w:val="0"/>
        <w:widowControl/>
        <w:suppressLineNumbers w:val="0"/>
        <w:spacing w:before="0" w:beforeAutospacing="0" w:after="0" w:afterAutospacing="0" w:line="560" w:lineRule="atLeast"/>
        <w:ind w:left="0" w:right="0" w:firstLine="512"/>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 </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附件：卫生专业技术资格考试专业目录</w:t>
      </w:r>
    </w:p>
    <w:p>
      <w:pPr>
        <w:pStyle w:val="3"/>
        <w:keepNext w:val="0"/>
        <w:keepLines w:val="0"/>
        <w:widowControl/>
        <w:suppressLineNumbers w:val="0"/>
        <w:spacing w:before="0" w:beforeAutospacing="0" w:after="0" w:afterAutospacing="0" w:line="560" w:lineRule="atLeast"/>
        <w:ind w:left="0" w:right="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 </w:t>
      </w:r>
    </w:p>
    <w:p>
      <w:pPr>
        <w:pStyle w:val="3"/>
        <w:keepNext w:val="0"/>
        <w:keepLines w:val="0"/>
        <w:widowControl/>
        <w:suppressLineNumbers w:val="0"/>
        <w:spacing w:before="0" w:beforeAutospacing="0" w:after="0" w:afterAutospacing="0" w:line="560" w:lineRule="atLeast"/>
        <w:ind w:left="0" w:right="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 </w:t>
      </w:r>
    </w:p>
    <w:p>
      <w:pPr>
        <w:pStyle w:val="3"/>
        <w:keepNext w:val="0"/>
        <w:keepLines w:val="0"/>
        <w:widowControl/>
        <w:suppressLineNumbers w:val="0"/>
        <w:spacing w:before="0" w:beforeAutospacing="0" w:after="0" w:afterAutospacing="0" w:line="560" w:lineRule="atLeast"/>
        <w:ind w:left="0" w:right="0" w:firstLine="512"/>
        <w:jc w:val="right"/>
        <w:rPr>
          <w:rFonts w:hint="default" w:ascii="Times New Roman" w:hAnsi="Times New Roman" w:eastAsia="仿宋" w:cs="Times New Roman"/>
          <w:sz w:val="32"/>
          <w:szCs w:val="32"/>
        </w:rPr>
      </w:pPr>
      <w:r>
        <w:rPr>
          <w:rFonts w:hint="eastAsia" w:ascii="仿宋" w:hAnsi="仿宋" w:eastAsia="仿宋" w:cs="仿宋"/>
          <w:color w:val="333333"/>
          <w:sz w:val="32"/>
          <w:szCs w:val="32"/>
        </w:rPr>
        <w:t>                   卫生专业技术资格考试办公室</w:t>
      </w:r>
    </w:p>
    <w:p>
      <w:pPr>
        <w:pStyle w:val="3"/>
        <w:keepNext w:val="0"/>
        <w:keepLines w:val="0"/>
        <w:widowControl/>
        <w:suppressLineNumbers w:val="0"/>
        <w:spacing w:before="0" w:beforeAutospacing="0" w:after="0" w:afterAutospacing="0" w:line="560" w:lineRule="atLeast"/>
        <w:ind w:left="0" w:right="0" w:firstLine="4800"/>
        <w:jc w:val="right"/>
        <w:rPr>
          <w:rFonts w:hint="default" w:ascii="Times New Roman" w:hAnsi="Times New Roman" w:eastAsia="仿宋" w:cs="Times New Roman"/>
          <w:sz w:val="32"/>
          <w:szCs w:val="32"/>
        </w:rPr>
      </w:pPr>
      <w:r>
        <w:rPr>
          <w:rFonts w:hint="eastAsia" w:ascii="仿宋" w:hAnsi="仿宋" w:eastAsia="仿宋" w:cs="仿宋"/>
          <w:color w:val="333333"/>
          <w:sz w:val="32"/>
          <w:szCs w:val="32"/>
        </w:rPr>
        <w:t>                          2022年12月23日     </w:t>
      </w:r>
    </w:p>
    <w:p>
      <w:pPr>
        <w:pStyle w:val="3"/>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（此件主动公开）</w:t>
      </w:r>
    </w:p>
    <w:p>
      <w:pPr>
        <w:pStyle w:val="3"/>
        <w:keepNext w:val="0"/>
        <w:keepLines w:val="0"/>
        <w:widowControl/>
        <w:suppressLineNumbers w:val="0"/>
        <w:spacing w:before="0" w:beforeAutospacing="0" w:after="0" w:afterAutospacing="0" w:line="560" w:lineRule="atLeast"/>
        <w:ind w:left="0" w:right="0"/>
        <w:jc w:val="left"/>
        <w:rPr>
          <w:rFonts w:hint="default" w:ascii="Times New Roman" w:hAnsi="Times New Roman" w:eastAsia="仿宋" w:cs="Times New Roman"/>
          <w:sz w:val="32"/>
          <w:szCs w:val="32"/>
        </w:rPr>
      </w:pPr>
      <w:r>
        <w:rPr>
          <w:rFonts w:hint="default" w:ascii="Times New Roman" w:hAnsi="Times New Roman" w:eastAsia="仿宋" w:cs="Times New Roman"/>
          <w:color w:val="333333"/>
          <w:sz w:val="32"/>
          <w:szCs w:val="32"/>
          <w:bdr w:val="none" w:color="auto" w:sz="0" w:space="0"/>
        </w:rPr>
        <w:br w:type="page"/>
      </w:r>
      <w:r>
        <w:rPr>
          <w:rFonts w:ascii="黑体" w:hAnsi="宋体" w:eastAsia="黑体" w:cs="黑体"/>
          <w:color w:val="333333"/>
          <w:sz w:val="32"/>
          <w:szCs w:val="32"/>
        </w:rPr>
        <w:t>附件</w:t>
      </w:r>
    </w:p>
    <w:p>
      <w:pPr>
        <w:pStyle w:val="3"/>
        <w:keepNext w:val="0"/>
        <w:keepLines w:val="0"/>
        <w:widowControl/>
        <w:suppressLineNumbers w:val="0"/>
        <w:spacing w:before="0" w:beforeAutospacing="0" w:after="0" w:afterAutospacing="0" w:line="560" w:lineRule="atLeast"/>
        <w:ind w:left="0" w:right="0"/>
        <w:jc w:val="both"/>
        <w:rPr>
          <w:rFonts w:hint="default" w:ascii="Times New Roman" w:hAnsi="Times New Roman" w:eastAsia="仿宋" w:cs="Times New Roman"/>
          <w:sz w:val="32"/>
          <w:szCs w:val="32"/>
        </w:rPr>
      </w:pPr>
      <w:r>
        <w:rPr>
          <w:rFonts w:hint="eastAsia" w:ascii="仿宋" w:hAnsi="仿宋" w:eastAsia="仿宋" w:cs="仿宋"/>
          <w:b/>
          <w:color w:val="333333"/>
          <w:sz w:val="32"/>
          <w:szCs w:val="32"/>
        </w:rPr>
        <w:t> </w:t>
      </w:r>
    </w:p>
    <w:p>
      <w:pPr>
        <w:pStyle w:val="3"/>
        <w:keepNext w:val="0"/>
        <w:keepLines w:val="0"/>
        <w:widowControl/>
        <w:suppressLineNumbers w:val="0"/>
        <w:spacing w:before="0" w:beforeAutospacing="0" w:after="0" w:afterAutospacing="0" w:line="560" w:lineRule="atLeast"/>
        <w:ind w:left="0" w:right="0"/>
        <w:jc w:val="center"/>
        <w:rPr>
          <w:rFonts w:hint="default" w:ascii="Times New Roman" w:hAnsi="Times New Roman" w:eastAsia="仿宋" w:cs="Times New Roman"/>
          <w:sz w:val="32"/>
          <w:szCs w:val="32"/>
        </w:rPr>
      </w:pPr>
      <w:r>
        <w:rPr>
          <w:rFonts w:hint="eastAsia" w:ascii="宋体" w:hAnsi="宋体" w:eastAsia="宋体" w:cs="宋体"/>
          <w:b/>
          <w:color w:val="333333"/>
          <w:sz w:val="44"/>
          <w:szCs w:val="44"/>
        </w:rPr>
        <w:t>卫生专业技术资格考试专业目录</w:t>
      </w:r>
    </w:p>
    <w:p>
      <w:pPr>
        <w:pStyle w:val="3"/>
        <w:keepNext w:val="0"/>
        <w:keepLines w:val="0"/>
        <w:widowControl/>
        <w:suppressLineNumbers w:val="0"/>
        <w:spacing w:before="0" w:beforeAutospacing="0" w:after="0" w:afterAutospacing="0" w:line="560"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 </w:t>
      </w:r>
    </w:p>
    <w:p>
      <w:pPr>
        <w:pStyle w:val="3"/>
        <w:keepNext w:val="0"/>
        <w:keepLines w:val="0"/>
        <w:widowControl/>
        <w:suppressLineNumbers w:val="0"/>
        <w:spacing w:before="156" w:beforeAutospacing="0" w:after="0" w:afterAutospacing="0" w:line="23" w:lineRule="atLeast"/>
        <w:ind w:left="1140" w:right="0" w:hanging="720"/>
        <w:jc w:val="both"/>
        <w:rPr>
          <w:rFonts w:hint="eastAsia" w:ascii="仿宋" w:hAnsi="仿宋" w:eastAsia="仿宋" w:cs="仿宋"/>
          <w:sz w:val="32"/>
          <w:szCs w:val="32"/>
        </w:rPr>
      </w:pPr>
      <w:r>
        <w:rPr>
          <w:rFonts w:hint="eastAsia" w:ascii="黑体" w:hAnsi="宋体" w:eastAsia="黑体" w:cs="黑体"/>
          <w:b/>
          <w:color w:val="333333"/>
          <w:sz w:val="32"/>
          <w:szCs w:val="32"/>
        </w:rPr>
        <w:t>一、</w:t>
      </w:r>
      <w:r>
        <w:rPr>
          <w:rFonts w:ascii="Times New Roman" w:hAnsi="Times New Roman" w:eastAsia="仿宋" w:cs="Times New Roman"/>
          <w:b/>
          <w:color w:val="333333"/>
          <w:sz w:val="14"/>
          <w:szCs w:val="14"/>
        </w:rPr>
        <w:t xml:space="preserve">  </w:t>
      </w:r>
      <w:r>
        <w:rPr>
          <w:rFonts w:hint="eastAsia" w:ascii="黑体" w:hAnsi="宋体" w:eastAsia="黑体" w:cs="黑体"/>
          <w:b/>
          <w:color w:val="333333"/>
          <w:sz w:val="32"/>
          <w:szCs w:val="32"/>
        </w:rPr>
        <w:t>初级（士）考试专业</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82"/>
        <w:gridCol w:w="5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2854"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黑体" w:hAnsi="宋体" w:eastAsia="黑体" w:cs="黑体"/>
                <w:b/>
                <w:color w:val="333333"/>
                <w:sz w:val="32"/>
                <w:szCs w:val="32"/>
              </w:rPr>
              <w:t>专业代码</w:t>
            </w:r>
          </w:p>
        </w:tc>
        <w:tc>
          <w:tcPr>
            <w:tcW w:w="570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黑体" w:hAnsi="宋体" w:eastAsia="黑体" w:cs="黑体"/>
                <w:b/>
                <w:color w:val="333333"/>
                <w:sz w:val="32"/>
                <w:szCs w:val="32"/>
              </w:rPr>
              <w:t>专</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业</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名</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101</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102</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103</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104</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放射医学技术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105</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临床医学检验技术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106</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病理学技术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107</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康复医学治疗技术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108</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109</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卫生检验技术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54"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110</w:t>
            </w:r>
          </w:p>
        </w:tc>
        <w:tc>
          <w:tcPr>
            <w:tcW w:w="570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both"/>
              <w:rPr>
                <w:rFonts w:hint="default" w:ascii="Times New Roman" w:hAnsi="Times New Roman" w:eastAsia="仿宋" w:cs="Times New Roman"/>
                <w:sz w:val="32"/>
                <w:szCs w:val="32"/>
              </w:rPr>
            </w:pPr>
            <w:r>
              <w:rPr>
                <w:rFonts w:hint="eastAsia" w:ascii="仿宋" w:hAnsi="仿宋" w:eastAsia="仿宋" w:cs="仿宋"/>
                <w:color w:val="333333"/>
                <w:sz w:val="32"/>
                <w:szCs w:val="32"/>
              </w:rPr>
              <w:t>病案信息技术</w:t>
            </w:r>
          </w:p>
        </w:tc>
      </w:tr>
    </w:tbl>
    <w:p>
      <w:pPr>
        <w:pStyle w:val="3"/>
        <w:keepNext w:val="0"/>
        <w:keepLines w:val="0"/>
        <w:widowControl/>
        <w:suppressLineNumbers w:val="0"/>
        <w:spacing w:before="0" w:beforeAutospacing="0" w:after="0" w:afterAutospacing="0" w:line="23" w:lineRule="atLeast"/>
        <w:ind w:left="0" w:right="0"/>
        <w:jc w:val="both"/>
        <w:rPr>
          <w:rFonts w:hint="default" w:ascii="Times New Roman" w:hAnsi="Times New Roman" w:eastAsia="仿宋" w:cs="Times New Roman"/>
          <w:sz w:val="32"/>
          <w:szCs w:val="32"/>
        </w:rPr>
      </w:pPr>
      <w:r>
        <w:rPr>
          <w:rFonts w:hint="eastAsia" w:ascii="仿宋" w:hAnsi="仿宋" w:eastAsia="仿宋" w:cs="仿宋"/>
          <w:b/>
          <w:color w:val="333333"/>
          <w:sz w:val="32"/>
          <w:szCs w:val="32"/>
        </w:rPr>
        <w:t> </w:t>
      </w:r>
    </w:p>
    <w:p>
      <w:pPr>
        <w:pStyle w:val="3"/>
        <w:keepNext w:val="0"/>
        <w:keepLines w:val="0"/>
        <w:widowControl/>
        <w:suppressLineNumbers w:val="0"/>
        <w:spacing w:before="0" w:beforeAutospacing="0" w:after="0" w:afterAutospacing="0" w:line="23" w:lineRule="atLeast"/>
        <w:ind w:left="0" w:right="0" w:firstLine="321"/>
        <w:jc w:val="both"/>
        <w:rPr>
          <w:rFonts w:hint="default" w:ascii="Times New Roman" w:hAnsi="Times New Roman" w:eastAsia="仿宋" w:cs="Times New Roman"/>
          <w:sz w:val="32"/>
          <w:szCs w:val="32"/>
        </w:rPr>
      </w:pPr>
      <w:r>
        <w:rPr>
          <w:rFonts w:hint="eastAsia" w:ascii="黑体" w:hAnsi="宋体" w:eastAsia="黑体" w:cs="黑体"/>
          <w:b/>
          <w:color w:val="333333"/>
          <w:sz w:val="32"/>
          <w:szCs w:val="32"/>
        </w:rPr>
        <w:t>二、初级（师）考试专业</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83"/>
        <w:gridCol w:w="55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blHeader/>
          <w:jc w:val="center"/>
        </w:trPr>
        <w:tc>
          <w:tcPr>
            <w:tcW w:w="2859"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黑体" w:hAnsi="宋体" w:eastAsia="黑体" w:cs="黑体"/>
                <w:b/>
                <w:color w:val="333333"/>
                <w:sz w:val="32"/>
                <w:szCs w:val="32"/>
              </w:rPr>
              <w:t>专业代码</w:t>
            </w:r>
          </w:p>
        </w:tc>
        <w:tc>
          <w:tcPr>
            <w:tcW w:w="5718"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黑体" w:hAnsi="宋体" w:eastAsia="黑体" w:cs="黑体"/>
                <w:b/>
                <w:color w:val="333333"/>
                <w:sz w:val="32"/>
                <w:szCs w:val="32"/>
              </w:rPr>
              <w:t>专</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业</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名</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201</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202</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中药学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203</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护理学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204</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中医护理学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205</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206</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放射医学技术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207</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临床医学检验技术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208</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病理学技术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209</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康复医学治疗技术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210</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营养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211</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卫生检验技术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212</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心理治疗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213</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病案信息技术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214</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输血技术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215</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神经电生理（脑电图）技术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859"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216</w:t>
            </w:r>
          </w:p>
        </w:tc>
        <w:tc>
          <w:tcPr>
            <w:tcW w:w="571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眼视光技术</w:t>
            </w:r>
          </w:p>
        </w:tc>
      </w:tr>
    </w:tbl>
    <w:p>
      <w:pPr>
        <w:pStyle w:val="3"/>
        <w:keepNext w:val="0"/>
        <w:keepLines w:val="0"/>
        <w:widowControl/>
        <w:suppressLineNumbers w:val="0"/>
        <w:spacing w:before="0" w:beforeAutospacing="0" w:after="0" w:afterAutospacing="0" w:line="23" w:lineRule="atLeast"/>
        <w:ind w:left="0" w:right="0"/>
        <w:jc w:val="both"/>
        <w:rPr>
          <w:rFonts w:hint="default" w:ascii="Times New Roman" w:hAnsi="Times New Roman" w:eastAsia="仿宋" w:cs="Times New Roman"/>
          <w:sz w:val="32"/>
          <w:szCs w:val="32"/>
        </w:rPr>
      </w:pPr>
      <w:r>
        <w:rPr>
          <w:rFonts w:hint="eastAsia" w:ascii="仿宋" w:hAnsi="仿宋" w:eastAsia="仿宋" w:cs="仿宋"/>
          <w:b/>
          <w:color w:val="333333"/>
          <w:sz w:val="32"/>
          <w:szCs w:val="32"/>
        </w:rPr>
        <w:t> </w:t>
      </w:r>
    </w:p>
    <w:p>
      <w:pPr>
        <w:pStyle w:val="3"/>
        <w:keepNext w:val="0"/>
        <w:keepLines w:val="0"/>
        <w:widowControl/>
        <w:suppressLineNumbers w:val="0"/>
        <w:spacing w:before="0" w:beforeAutospacing="0" w:after="0" w:afterAutospacing="0" w:line="23" w:lineRule="atLeast"/>
        <w:ind w:left="0" w:right="0" w:firstLine="321"/>
        <w:jc w:val="both"/>
        <w:rPr>
          <w:rFonts w:hint="default" w:ascii="Times New Roman" w:hAnsi="Times New Roman" w:eastAsia="仿宋" w:cs="Times New Roman"/>
          <w:sz w:val="32"/>
          <w:szCs w:val="32"/>
        </w:rPr>
      </w:pPr>
      <w:r>
        <w:rPr>
          <w:rFonts w:hint="eastAsia" w:ascii="黑体" w:hAnsi="宋体" w:eastAsia="黑体" w:cs="黑体"/>
          <w:b/>
          <w:color w:val="333333"/>
          <w:sz w:val="32"/>
          <w:szCs w:val="32"/>
        </w:rPr>
        <w:t>三、中级考试专业</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83"/>
        <w:gridCol w:w="5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Header/>
          <w:jc w:val="center"/>
        </w:trPr>
        <w:tc>
          <w:tcPr>
            <w:tcW w:w="2871"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黑体" w:hAnsi="宋体" w:eastAsia="黑体" w:cs="黑体"/>
                <w:b/>
                <w:color w:val="333333"/>
                <w:sz w:val="32"/>
                <w:szCs w:val="32"/>
              </w:rPr>
              <w:t>专业代码</w:t>
            </w:r>
          </w:p>
        </w:tc>
        <w:tc>
          <w:tcPr>
            <w:tcW w:w="5742" w:type="dxa"/>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黑体" w:hAnsi="宋体" w:eastAsia="黑体" w:cs="黑体"/>
                <w:b/>
                <w:color w:val="333333"/>
                <w:sz w:val="32"/>
                <w:szCs w:val="32"/>
              </w:rPr>
              <w:t>专</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业</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名</w:t>
            </w:r>
            <w:r>
              <w:rPr>
                <w:rFonts w:hint="default" w:ascii="Times New Roman" w:hAnsi="Times New Roman" w:eastAsia="仿宋" w:cs="Times New Roman"/>
                <w:b/>
                <w:color w:val="333333"/>
                <w:sz w:val="32"/>
                <w:szCs w:val="32"/>
              </w:rPr>
              <w:t xml:space="preserve"> </w:t>
            </w:r>
            <w:r>
              <w:rPr>
                <w:rFonts w:hint="eastAsia" w:ascii="黑体" w:hAnsi="宋体" w:eastAsia="黑体" w:cs="黑体"/>
                <w:b/>
                <w:color w:val="333333"/>
                <w:sz w:val="32"/>
                <w:szCs w:val="32"/>
              </w:rPr>
              <w:t>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全科医学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全科医学（中医类）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心血管内科学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呼吸内科学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消化内科学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肾内科学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神经内科学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309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内分泌学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血液病学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结核病学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传染病学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风湿与临床免疫学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职业病学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中西医结合内科学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普通外科学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骨外科学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319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胸心外科学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神经外科学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泌尿外科学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小儿外科学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烧伤外科学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整形外科学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中西医结合外科学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中医肛肠科学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中医骨伤学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329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中西医结合骨伤科学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中医耳鼻喉科学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皮肤与性病学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339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中医皮肤与性病学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精神病学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肿瘤内科学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肿瘤外科学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肿瘤放射治疗学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放射医学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超声波医学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麻醉学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349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推拿（按摩）学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中医针灸学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病理学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临床医学检验学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口腔颌面外科学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口腔修复学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口腔正畸学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疼痛学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359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计划生育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疾病控制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公共卫生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职业卫生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妇幼保健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369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内科护理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外科护理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妇产科护理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儿科护理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社区护理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中医护理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放射医学技术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核医学技术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超声波医学技术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379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临床医学检验技术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病理学技术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康复医学治疗技术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理化检验技术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384</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微生物检验技术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385</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消毒技术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386</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心理治疗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387</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心电学技术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388</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肿瘤放射治疗技术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389</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病案信息技术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390</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输血技术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391</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神经电生理（脑电图）技术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392</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急诊医学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871"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jc w:val="center"/>
              <w:rPr>
                <w:rFonts w:hint="default" w:ascii="Times New Roman" w:hAnsi="Times New Roman" w:eastAsia="仿宋" w:cs="Times New Roman"/>
                <w:sz w:val="32"/>
                <w:szCs w:val="32"/>
              </w:rPr>
            </w:pPr>
            <w:r>
              <w:rPr>
                <w:rFonts w:hint="eastAsia" w:ascii="仿宋" w:hAnsi="仿宋" w:eastAsia="仿宋" w:cs="仿宋"/>
                <w:b/>
                <w:color w:val="333333"/>
                <w:sz w:val="32"/>
                <w:szCs w:val="32"/>
              </w:rPr>
              <w:t>393</w:t>
            </w:r>
          </w:p>
        </w:tc>
        <w:tc>
          <w:tcPr>
            <w:tcW w:w="57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spacing w:before="0" w:beforeAutospacing="0" w:after="0" w:afterAutospacing="0" w:line="23" w:lineRule="atLeast"/>
              <w:ind w:left="0" w:right="0" w:firstLine="320"/>
              <w:jc w:val="left"/>
              <w:rPr>
                <w:rFonts w:hint="default" w:ascii="Times New Roman" w:hAnsi="Times New Roman" w:eastAsia="仿宋" w:cs="Times New Roman"/>
                <w:sz w:val="32"/>
                <w:szCs w:val="32"/>
              </w:rPr>
            </w:pPr>
            <w:r>
              <w:rPr>
                <w:rFonts w:hint="eastAsia" w:ascii="仿宋" w:hAnsi="仿宋" w:eastAsia="仿宋" w:cs="仿宋"/>
                <w:color w:val="333333"/>
                <w:sz w:val="32"/>
                <w:szCs w:val="32"/>
              </w:rPr>
              <w:t>眼视光技术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6269D"/>
    <w:rsid w:val="268C632D"/>
    <w:rsid w:val="2BF65B46"/>
    <w:rsid w:val="3DB86B8F"/>
    <w:rsid w:val="40D842E5"/>
    <w:rsid w:val="69F7407B"/>
    <w:rsid w:val="6EC4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nth-child(2)"/>
    <w:basedOn w:val="5"/>
    <w:uiPriority w:val="0"/>
  </w:style>
  <w:style w:type="paragraph" w:customStyle="1" w:styleId="9">
    <w:name w:val="pubtime"/>
    <w:basedOn w:val="1"/>
    <w:uiPriority w:val="0"/>
    <w:pPr>
      <w:spacing w:after="450" w:afterAutospacing="0" w:line="450" w:lineRule="atLeast"/>
      <w:jc w:val="center"/>
    </w:pPr>
    <w:rPr>
      <w:color w:val="666666"/>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2022-04-03T06:32:00Z</dcterms:created>
  <dc:creator>Administrator</dc:creator>
  <cp:lastModifiedBy>Administrator</cp:lastModifiedBy>
  <dcterms:modified xsi:type="dcterms:W3CDTF">2023-01-04T06:04:14Z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