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u w:val="none"/>
          <w:bdr w:val="none" w:color="auto" w:sz="0" w:space="0"/>
        </w:rPr>
        <w:t>卫生专业技术人员职称评价基本标准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一、遵守国家宪法和法律，贯彻新时代卫生与健康工作方针，自觉践行“敬佑生命、救死扶伤、甘于奉献、大爱无疆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的职业精神，具备良好的政治素质、协作精神、敬业精神和医德医风。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二、身心健康，心理素质良好，能全面履行岗位职责。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三、卫生专业技术人员申报医疗类、护理类职称，应取得相应职业资格，并按规定进行注册，取得相应的执业证书。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四、卫生专业技术人员申报各层级职称，除必须达到上述基本条件外，还应分别具备以下条件。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（一）初级职称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医士(师)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(专长)医师资格，可视同取得医师职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护士(师)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药（技）士：具备相应专业中专、大专学历，可参加药（技）士资格考试。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（二）中级职称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卫生专业技术人员中级职称实行全国统一考试制度。具备相应专业学历，并符合以下条件的，可报名参加考试：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主管药（技）师：具备博士学位；或具备硕士学位，取得药（技）师职称后，从事本专业工作满2年；或具备大学本科学历或学士学位，取得药(技)师职称后，从事本专业工作满4年；或具备大专学历，取得药（技）师职称后，从事本专业工作满6年；或具备中专学历，取得药（技）师职称后，从事本专业工作满7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C632D"/>
    <w:rsid w:val="2BF65B46"/>
    <w:rsid w:val="3DB86B8F"/>
    <w:rsid w:val="40D842E5"/>
    <w:rsid w:val="5D8D3C08"/>
    <w:rsid w:val="69F7407B"/>
    <w:rsid w:val="6EC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2022-04-03T06:32:00Z</dcterms:created>
  <dc:creator>Administrator</dc:creator>
  <cp:lastModifiedBy>Administrator</cp:lastModifiedBy>
  <dcterms:modified xsi:type="dcterms:W3CDTF">2023-01-07T01:53:44Z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